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Autospacing="0" w:after="120" w:afterAutospacing="0" w:line="579" w:lineRule="exact"/>
        <w:jc w:val="center"/>
        <w:textAlignment w:val="baseline"/>
        <w:rPr>
          <w:rFonts w:hint="eastAsia" w:ascii="方正小标宋简体" w:hAnsi="方正小标宋简体" w:eastAsia="方正小标宋简体" w:cs="方正小标宋简体"/>
          <w:b w:val="0"/>
          <w:bCs w:val="0"/>
          <w:color w:val="333333"/>
          <w:sz w:val="44"/>
          <w:szCs w:val="44"/>
          <w:shd w:val="clear" w:color="auto" w:fill="FFFFFF"/>
        </w:rPr>
      </w:pPr>
      <w:r>
        <w:rPr>
          <w:rFonts w:hint="eastAsia" w:ascii="方正小标宋简体" w:hAnsi="方正小标宋简体" w:eastAsia="方正小标宋简体" w:cs="方正小标宋简体"/>
          <w:b w:val="0"/>
          <w:bCs w:val="0"/>
          <w:color w:val="333333"/>
          <w:sz w:val="44"/>
          <w:szCs w:val="44"/>
          <w:shd w:val="clear" w:color="auto" w:fill="FFFFFF"/>
        </w:rPr>
        <w:t>2023年机关事业单位工勤技能岗位二级至五级考核结果查询</w:t>
      </w:r>
    </w:p>
    <w:p>
      <w:pPr>
        <w:pStyle w:val="5"/>
        <w:keepNext w:val="0"/>
        <w:keepLines w:val="0"/>
        <w:pageBreakBefore w:val="0"/>
        <w:widowControl/>
        <w:kinsoku/>
        <w:wordWrap/>
        <w:overflowPunct/>
        <w:topLinePunct w:val="0"/>
        <w:autoSpaceDE/>
        <w:autoSpaceDN/>
        <w:bidi w:val="0"/>
        <w:adjustRightInd/>
        <w:snapToGrid/>
        <w:spacing w:beforeAutospacing="0" w:after="120" w:afterAutospacing="0" w:line="579" w:lineRule="exact"/>
        <w:jc w:val="center"/>
        <w:textAlignment w:val="baseline"/>
        <w:rPr>
          <w:rFonts w:hint="eastAsia" w:ascii="方正小标宋简体" w:hAnsi="方正小标宋简体" w:eastAsia="方正小标宋简体" w:cs="方正小标宋简体"/>
          <w:b w:val="0"/>
          <w:bCs w:val="0"/>
          <w:color w:val="333333"/>
          <w:sz w:val="44"/>
          <w:szCs w:val="44"/>
          <w:shd w:val="clear" w:color="auto" w:fill="FFFFFF"/>
        </w:rPr>
      </w:pPr>
    </w:p>
    <w:p>
      <w:pPr>
        <w:pStyle w:val="5"/>
        <w:keepNext w:val="0"/>
        <w:keepLines w:val="0"/>
        <w:pageBreakBefore w:val="0"/>
        <w:widowControl/>
        <w:kinsoku/>
        <w:wordWrap/>
        <w:overflowPunct/>
        <w:topLinePunct w:val="0"/>
        <w:autoSpaceDE/>
        <w:autoSpaceDN/>
        <w:bidi w:val="0"/>
        <w:adjustRightInd/>
        <w:snapToGrid/>
        <w:spacing w:beforeAutospacing="0" w:afterAutospacing="0" w:line="579" w:lineRule="exact"/>
        <w:ind w:left="0" w:firstLine="620" w:firstLineChars="200"/>
        <w:jc w:val="both"/>
        <w:textAlignment w:val="baseline"/>
        <w:rPr>
          <w:rFonts w:hint="eastAsia" w:ascii="仿宋_GB2312" w:hAnsi="仿宋_GB2312" w:eastAsia="仿宋_GB2312" w:cs="仿宋_GB2312"/>
          <w:color w:val="auto"/>
        </w:rPr>
      </w:pPr>
      <w:r>
        <w:rPr>
          <w:rFonts w:hint="eastAsia" w:ascii="仿宋_GB2312" w:hAnsi="仿宋_GB2312" w:eastAsia="仿宋_GB2312" w:cs="仿宋_GB2312"/>
          <w:color w:val="auto"/>
          <w:sz w:val="31"/>
          <w:szCs w:val="31"/>
          <w:shd w:val="clear" w:color="auto" w:fill="FFFFFF"/>
        </w:rPr>
        <w:t>根据政务公开和《河南省机关事业单位工勤技能岗位二级至五级合格人员的确定规则》（豫人社工考[2014]4号文件附件3）等有关规定，现将郑州市等18个省辖市2023年机关事业单位工勤技能岗位二级、三级和省直单位二级至五级合格人员考核结果予以公布。</w:t>
      </w:r>
    </w:p>
    <w:p>
      <w:pPr>
        <w:pStyle w:val="5"/>
        <w:keepNext w:val="0"/>
        <w:keepLines w:val="0"/>
        <w:pageBreakBefore w:val="0"/>
        <w:widowControl/>
        <w:kinsoku/>
        <w:wordWrap/>
        <w:overflowPunct/>
        <w:topLinePunct w:val="0"/>
        <w:autoSpaceDE/>
        <w:autoSpaceDN/>
        <w:bidi w:val="0"/>
        <w:adjustRightInd/>
        <w:snapToGrid/>
        <w:spacing w:beforeAutospacing="0" w:afterAutospacing="0" w:line="579" w:lineRule="exact"/>
        <w:ind w:left="0" w:firstLine="620" w:firstLineChars="200"/>
        <w:jc w:val="both"/>
        <w:textAlignment w:val="baseline"/>
        <w:rPr>
          <w:rFonts w:hint="eastAsia" w:ascii="仿宋_GB2312" w:hAnsi="仿宋_GB2312" w:eastAsia="仿宋_GB2312" w:cs="仿宋_GB2312"/>
          <w:color w:val="auto"/>
        </w:rPr>
      </w:pPr>
      <w:r>
        <w:rPr>
          <w:rFonts w:hint="eastAsia" w:ascii="仿宋_GB2312" w:hAnsi="仿宋_GB2312" w:eastAsia="仿宋_GB2312" w:cs="仿宋_GB2312"/>
          <w:color w:val="auto"/>
          <w:sz w:val="31"/>
          <w:szCs w:val="31"/>
          <w:shd w:val="clear" w:color="auto" w:fill="FFFFFF"/>
        </w:rPr>
        <w:t>根据全省机关事业单位工勤技能岗位等级考核放权赋能改革方案要求，各省辖市四级、五级合格人员确定、结果公布和证书制作工作由所属县（市）人力资源社会保障部门负责。</w:t>
      </w:r>
    </w:p>
    <w:p>
      <w:pPr>
        <w:pStyle w:val="5"/>
        <w:keepNext w:val="0"/>
        <w:keepLines w:val="0"/>
        <w:pageBreakBefore w:val="0"/>
        <w:widowControl/>
        <w:kinsoku/>
        <w:wordWrap/>
        <w:overflowPunct/>
        <w:topLinePunct w:val="0"/>
        <w:autoSpaceDE/>
        <w:autoSpaceDN/>
        <w:bidi w:val="0"/>
        <w:adjustRightInd/>
        <w:snapToGrid/>
        <w:spacing w:beforeAutospacing="0" w:afterAutospacing="0" w:line="579" w:lineRule="exact"/>
        <w:ind w:left="0" w:firstLine="620" w:firstLineChars="200"/>
        <w:jc w:val="both"/>
        <w:textAlignment w:val="baseline"/>
        <w:rPr>
          <w:rFonts w:hint="eastAsia" w:ascii="黑体" w:hAnsi="黑体" w:eastAsia="黑体" w:cs="黑体"/>
          <w:color w:val="auto"/>
        </w:rPr>
      </w:pPr>
      <w:r>
        <w:rPr>
          <w:rFonts w:hint="eastAsia" w:ascii="黑体" w:hAnsi="黑体" w:eastAsia="黑体" w:cs="黑体"/>
          <w:color w:val="auto"/>
          <w:sz w:val="31"/>
          <w:szCs w:val="31"/>
          <w:shd w:val="clear" w:color="auto" w:fill="FFFFFF"/>
        </w:rPr>
        <w:t>一、查询时间</w:t>
      </w:r>
    </w:p>
    <w:p>
      <w:pPr>
        <w:pStyle w:val="5"/>
        <w:keepNext w:val="0"/>
        <w:keepLines w:val="0"/>
        <w:pageBreakBefore w:val="0"/>
        <w:widowControl/>
        <w:kinsoku/>
        <w:wordWrap/>
        <w:overflowPunct/>
        <w:topLinePunct w:val="0"/>
        <w:autoSpaceDE/>
        <w:autoSpaceDN/>
        <w:bidi w:val="0"/>
        <w:adjustRightInd/>
        <w:snapToGrid/>
        <w:spacing w:beforeAutospacing="0" w:afterAutospacing="0" w:line="579" w:lineRule="exact"/>
        <w:ind w:left="0" w:firstLine="620" w:firstLineChars="200"/>
        <w:jc w:val="both"/>
        <w:textAlignment w:val="baseline"/>
        <w:rPr>
          <w:rFonts w:hint="eastAsia" w:ascii="仿宋_GB2312" w:hAnsi="仿宋_GB2312" w:eastAsia="仿宋_GB2312" w:cs="仿宋_GB2312"/>
          <w:color w:val="auto"/>
          <w:sz w:val="31"/>
          <w:szCs w:val="31"/>
          <w:shd w:val="clear" w:color="auto" w:fill="FFFFFF"/>
        </w:rPr>
      </w:pPr>
      <w:r>
        <w:rPr>
          <w:rFonts w:hint="eastAsia" w:ascii="仿宋_GB2312" w:hAnsi="仿宋_GB2312" w:eastAsia="仿宋_GB2312" w:cs="仿宋_GB2312"/>
          <w:color w:val="auto"/>
          <w:sz w:val="31"/>
          <w:szCs w:val="31"/>
          <w:shd w:val="clear" w:color="auto" w:fill="FFFFFF"/>
        </w:rPr>
        <w:t>即日起至2023年9月15日。</w:t>
      </w:r>
    </w:p>
    <w:p>
      <w:pPr>
        <w:pStyle w:val="5"/>
        <w:keepNext w:val="0"/>
        <w:keepLines w:val="0"/>
        <w:pageBreakBefore w:val="0"/>
        <w:widowControl/>
        <w:kinsoku/>
        <w:wordWrap/>
        <w:overflowPunct/>
        <w:topLinePunct w:val="0"/>
        <w:autoSpaceDE/>
        <w:autoSpaceDN/>
        <w:bidi w:val="0"/>
        <w:adjustRightInd/>
        <w:snapToGrid/>
        <w:spacing w:beforeAutospacing="0" w:afterAutospacing="0" w:line="579" w:lineRule="exact"/>
        <w:ind w:left="0" w:firstLine="620" w:firstLineChars="200"/>
        <w:jc w:val="both"/>
        <w:textAlignment w:val="baseline"/>
        <w:rPr>
          <w:rFonts w:hint="eastAsia" w:ascii="黑体" w:hAnsi="黑体" w:eastAsia="黑体" w:cs="黑体"/>
          <w:color w:val="auto"/>
        </w:rPr>
      </w:pPr>
      <w:r>
        <w:rPr>
          <w:rFonts w:hint="eastAsia" w:ascii="黑体" w:hAnsi="黑体" w:eastAsia="黑体" w:cs="黑体"/>
          <w:color w:val="auto"/>
          <w:sz w:val="31"/>
          <w:szCs w:val="31"/>
          <w:shd w:val="clear" w:color="auto" w:fill="FFFFFF"/>
        </w:rPr>
        <w:t>二、查询网站、方式</w:t>
      </w:r>
    </w:p>
    <w:p>
      <w:pPr>
        <w:pStyle w:val="5"/>
        <w:keepNext w:val="0"/>
        <w:keepLines w:val="0"/>
        <w:pageBreakBefore w:val="0"/>
        <w:widowControl/>
        <w:kinsoku/>
        <w:wordWrap/>
        <w:overflowPunct/>
        <w:topLinePunct w:val="0"/>
        <w:autoSpaceDE/>
        <w:autoSpaceDN/>
        <w:bidi w:val="0"/>
        <w:adjustRightInd/>
        <w:snapToGrid/>
        <w:spacing w:beforeAutospacing="0" w:afterAutospacing="0" w:line="579" w:lineRule="exact"/>
        <w:ind w:left="0" w:firstLine="620" w:firstLineChars="200"/>
        <w:jc w:val="both"/>
        <w:textAlignment w:val="baseline"/>
        <w:rPr>
          <w:rFonts w:hint="eastAsia" w:ascii="仿宋_GB2312" w:hAnsi="仿宋_GB2312" w:eastAsia="仿宋_GB2312" w:cs="仿宋_GB2312"/>
          <w:color w:val="auto"/>
          <w:sz w:val="31"/>
          <w:szCs w:val="31"/>
          <w:shd w:val="clear" w:color="auto" w:fill="FFFFFF"/>
        </w:rPr>
      </w:pPr>
      <w:r>
        <w:rPr>
          <w:rFonts w:hint="eastAsia" w:ascii="仿宋_GB2312" w:hAnsi="仿宋_GB2312" w:eastAsia="仿宋_GB2312" w:cs="仿宋_GB2312"/>
          <w:color w:val="auto"/>
          <w:sz w:val="31"/>
          <w:szCs w:val="31"/>
          <w:shd w:val="clear" w:color="auto" w:fill="FFFFFF"/>
        </w:rPr>
        <w:t>登录河南省机关事业单位工勤技能岗位等级考核网上报名系统（http://bm.hnsgkb.com），查询本人考核结果。</w:t>
      </w:r>
    </w:p>
    <w:p>
      <w:pPr>
        <w:pStyle w:val="5"/>
        <w:keepNext w:val="0"/>
        <w:keepLines w:val="0"/>
        <w:pageBreakBefore w:val="0"/>
        <w:widowControl/>
        <w:kinsoku/>
        <w:wordWrap/>
        <w:overflowPunct/>
        <w:topLinePunct w:val="0"/>
        <w:autoSpaceDE/>
        <w:autoSpaceDN/>
        <w:bidi w:val="0"/>
        <w:adjustRightInd/>
        <w:snapToGrid/>
        <w:spacing w:beforeAutospacing="0" w:afterAutospacing="0" w:line="579" w:lineRule="exact"/>
        <w:ind w:left="0" w:firstLine="620" w:firstLineChars="200"/>
        <w:jc w:val="both"/>
        <w:textAlignment w:val="baseline"/>
        <w:rPr>
          <w:rFonts w:hint="eastAsia" w:ascii="黑体" w:hAnsi="黑体" w:eastAsia="黑体" w:cs="黑体"/>
          <w:color w:val="auto"/>
        </w:rPr>
      </w:pPr>
      <w:r>
        <w:rPr>
          <w:rFonts w:hint="eastAsia" w:ascii="黑体" w:hAnsi="黑体" w:eastAsia="黑体" w:cs="黑体"/>
          <w:color w:val="auto"/>
          <w:sz w:val="31"/>
          <w:szCs w:val="31"/>
          <w:shd w:val="clear" w:color="auto" w:fill="FFFFFF"/>
        </w:rPr>
        <w:t>三、对考试结果有异议的复查程序</w:t>
      </w:r>
    </w:p>
    <w:p>
      <w:pPr>
        <w:pStyle w:val="5"/>
        <w:keepNext w:val="0"/>
        <w:keepLines w:val="0"/>
        <w:pageBreakBefore w:val="0"/>
        <w:widowControl/>
        <w:kinsoku/>
        <w:wordWrap/>
        <w:overflowPunct/>
        <w:topLinePunct w:val="0"/>
        <w:autoSpaceDE/>
        <w:autoSpaceDN/>
        <w:bidi w:val="0"/>
        <w:adjustRightInd/>
        <w:snapToGrid/>
        <w:spacing w:beforeAutospacing="0" w:afterAutospacing="0" w:line="579" w:lineRule="exact"/>
        <w:ind w:left="0" w:firstLine="620" w:firstLineChars="200"/>
        <w:jc w:val="both"/>
        <w:textAlignment w:val="baseline"/>
        <w:rPr>
          <w:rFonts w:hint="eastAsia" w:ascii="仿宋_GB2312" w:hAnsi="仿宋_GB2312" w:eastAsia="仿宋_GB2312" w:cs="仿宋_GB2312"/>
          <w:color w:val="auto"/>
          <w:sz w:val="31"/>
          <w:szCs w:val="31"/>
          <w:shd w:val="clear" w:color="auto" w:fill="FFFFFF"/>
        </w:rPr>
      </w:pPr>
      <w:r>
        <w:rPr>
          <w:rFonts w:hint="eastAsia" w:ascii="仿宋_GB2312" w:hAnsi="仿宋_GB2312" w:eastAsia="仿宋_GB2312" w:cs="仿宋_GB2312"/>
          <w:color w:val="auto"/>
          <w:sz w:val="31"/>
          <w:szCs w:val="31"/>
          <w:shd w:val="clear" w:color="auto" w:fill="FFFFFF"/>
        </w:rPr>
        <w:t>（一）人机对话考试成绩在考核结果公布之前已经在考试现场告知应试人员，根据豫人社工考[2016]3号文件规定，原则上不接受查卷。</w:t>
      </w:r>
    </w:p>
    <w:p>
      <w:pPr>
        <w:pStyle w:val="5"/>
        <w:keepNext w:val="0"/>
        <w:keepLines w:val="0"/>
        <w:pageBreakBefore w:val="0"/>
        <w:widowControl/>
        <w:kinsoku/>
        <w:wordWrap/>
        <w:overflowPunct/>
        <w:topLinePunct w:val="0"/>
        <w:autoSpaceDE/>
        <w:autoSpaceDN/>
        <w:bidi w:val="0"/>
        <w:adjustRightInd/>
        <w:snapToGrid/>
        <w:spacing w:beforeAutospacing="0" w:afterAutospacing="0" w:line="579" w:lineRule="exact"/>
        <w:ind w:left="0" w:firstLine="620" w:firstLineChars="200"/>
        <w:jc w:val="both"/>
        <w:textAlignment w:val="baseline"/>
        <w:rPr>
          <w:rFonts w:hint="eastAsia" w:ascii="仿宋_GB2312" w:hAnsi="仿宋_GB2312" w:eastAsia="仿宋_GB2312" w:cs="仿宋_GB2312"/>
          <w:color w:val="auto"/>
          <w:sz w:val="31"/>
          <w:szCs w:val="31"/>
          <w:shd w:val="clear" w:color="auto" w:fill="FFFFFF"/>
        </w:rPr>
      </w:pPr>
      <w:r>
        <w:rPr>
          <w:rFonts w:hint="eastAsia" w:ascii="仿宋_GB2312" w:hAnsi="仿宋_GB2312" w:eastAsia="仿宋_GB2312" w:cs="仿宋_GB2312"/>
          <w:color w:val="auto"/>
          <w:sz w:val="31"/>
          <w:szCs w:val="31"/>
          <w:shd w:val="clear" w:color="auto" w:fill="FFFFFF"/>
        </w:rPr>
        <w:t>（二）对零分、缺考、违纪处理有异议的应试人员，应填写《河南省机关事业单位工勤技能岗位等级考核成绩复查申请表》（见附件），于8月15日至8月31日期间的工作日申请复查。省辖市应试人员，由所在省辖市工考管理部门负责复查，并在10个工作日内向有关单位和应试人员反馈复查结果。</w:t>
      </w:r>
    </w:p>
    <w:p>
      <w:pPr>
        <w:pStyle w:val="5"/>
        <w:keepNext w:val="0"/>
        <w:keepLines w:val="0"/>
        <w:pageBreakBefore w:val="0"/>
        <w:widowControl/>
        <w:kinsoku/>
        <w:wordWrap/>
        <w:overflowPunct/>
        <w:topLinePunct w:val="0"/>
        <w:autoSpaceDE/>
        <w:autoSpaceDN/>
        <w:bidi w:val="0"/>
        <w:adjustRightInd/>
        <w:snapToGrid/>
        <w:spacing w:beforeAutospacing="0" w:afterAutospacing="0" w:line="579" w:lineRule="exact"/>
        <w:ind w:left="0" w:firstLine="620" w:firstLineChars="200"/>
        <w:jc w:val="both"/>
        <w:textAlignment w:val="baseline"/>
        <w:rPr>
          <w:rFonts w:hint="eastAsia" w:ascii="黑体" w:hAnsi="黑体" w:eastAsia="黑体" w:cs="黑体"/>
          <w:color w:val="auto"/>
          <w:sz w:val="31"/>
          <w:szCs w:val="31"/>
          <w:shd w:val="clear" w:color="auto" w:fill="FFFFFF"/>
        </w:rPr>
      </w:pPr>
      <w:r>
        <w:rPr>
          <w:rFonts w:hint="eastAsia" w:ascii="黑体" w:hAnsi="黑体" w:eastAsia="黑体" w:cs="黑体"/>
          <w:color w:val="auto"/>
          <w:sz w:val="31"/>
          <w:szCs w:val="31"/>
          <w:shd w:val="clear" w:color="auto" w:fill="FFFFFF"/>
        </w:rPr>
        <w:t>四、2023年二级至五级考核合格人员电子证书打印时间另行通知。</w:t>
      </w:r>
    </w:p>
    <w:p>
      <w:pPr>
        <w:keepNext w:val="0"/>
        <w:keepLines w:val="0"/>
        <w:pageBreakBefore w:val="0"/>
        <w:widowControl/>
        <w:kinsoku/>
        <w:wordWrap/>
        <w:overflowPunct/>
        <w:topLinePunct w:val="0"/>
        <w:autoSpaceDE/>
        <w:autoSpaceDN/>
        <w:bidi w:val="0"/>
        <w:adjustRightInd/>
        <w:snapToGrid/>
        <w:spacing w:line="579" w:lineRule="exact"/>
        <w:ind w:left="0" w:firstLine="640" w:firstLineChars="200"/>
        <w:jc w:val="left"/>
        <w:textAlignment w:val="baseline"/>
        <w:rPr>
          <w:rFonts w:hint="eastAsia" w:ascii="仿宋" w:hAnsi="仿宋" w:eastAsia="仿宋" w:cs="Helvetica"/>
          <w:color w:val="auto"/>
          <w:kern w:val="0"/>
          <w:sz w:val="32"/>
          <w:szCs w:val="32"/>
        </w:rPr>
      </w:pPr>
    </w:p>
    <w:p>
      <w:pPr>
        <w:keepNext w:val="0"/>
        <w:keepLines w:val="0"/>
        <w:pageBreakBefore w:val="0"/>
        <w:widowControl/>
        <w:kinsoku/>
        <w:wordWrap/>
        <w:overflowPunct/>
        <w:topLinePunct w:val="0"/>
        <w:autoSpaceDE/>
        <w:autoSpaceDN/>
        <w:bidi w:val="0"/>
        <w:adjustRightInd/>
        <w:snapToGrid/>
        <w:spacing w:line="579" w:lineRule="exact"/>
        <w:ind w:left="0"/>
        <w:jc w:val="left"/>
        <w:textAlignment w:val="baseline"/>
        <w:rPr>
          <w:rFonts w:ascii="CESI仿宋-GB13000" w:hAnsi="CESI仿宋-GB13000" w:eastAsia="CESI仿宋-GB13000" w:cs="CESI仿宋-GB13000"/>
          <w:color w:val="auto"/>
          <w:kern w:val="0"/>
          <w:sz w:val="31"/>
          <w:szCs w:val="31"/>
          <w:shd w:val="clear" w:color="auto" w:fill="FFFFFF"/>
        </w:rPr>
      </w:pPr>
      <w:r>
        <w:rPr>
          <w:rFonts w:hint="eastAsia" w:ascii="CESI仿宋-GB13000" w:hAnsi="CESI仿宋-GB13000" w:eastAsia="CESI仿宋-GB13000" w:cs="CESI仿宋-GB13000"/>
          <w:color w:val="auto"/>
          <w:kern w:val="0"/>
          <w:sz w:val="31"/>
          <w:szCs w:val="31"/>
          <w:shd w:val="clear" w:color="auto" w:fill="FFFFFF"/>
        </w:rPr>
        <w:t>附件：</w:t>
      </w:r>
      <w:r>
        <w:rPr>
          <w:rFonts w:hint="eastAsia" w:ascii="CESI仿宋-GB13000" w:hAnsi="CESI仿宋-GB13000" w:eastAsia="CESI仿宋-GB13000" w:cs="CESI仿宋-GB13000"/>
          <w:color w:val="auto"/>
          <w:sz w:val="31"/>
          <w:szCs w:val="31"/>
          <w:shd w:val="clear" w:color="auto" w:fill="FFFFFF"/>
        </w:rPr>
        <w:t>河南省机关事业单位工勤技能岗位等级考核成绩复查申请表</w:t>
      </w:r>
    </w:p>
    <w:p>
      <w:pPr>
        <w:keepNext w:val="0"/>
        <w:keepLines w:val="0"/>
        <w:pageBreakBefore w:val="0"/>
        <w:widowControl/>
        <w:kinsoku/>
        <w:wordWrap/>
        <w:overflowPunct/>
        <w:topLinePunct w:val="0"/>
        <w:autoSpaceDE/>
        <w:autoSpaceDN/>
        <w:bidi w:val="0"/>
        <w:adjustRightInd/>
        <w:snapToGrid/>
        <w:spacing w:line="579" w:lineRule="exact"/>
        <w:ind w:left="0"/>
        <w:jc w:val="left"/>
        <w:rPr>
          <w:rFonts w:hint="eastAsia" w:ascii="方正细黑一_GBK" w:hAnsi="方正细黑一_GBK" w:eastAsia="方正细黑一_GBK" w:cs="方正细黑一_GBK"/>
          <w:color w:val="auto"/>
          <w:sz w:val="31"/>
          <w:szCs w:val="31"/>
          <w:shd w:val="clear" w:color="auto" w:fill="FFFFFF"/>
        </w:rPr>
      </w:pPr>
    </w:p>
    <w:p>
      <w:pPr>
        <w:keepNext w:val="0"/>
        <w:keepLines w:val="0"/>
        <w:pageBreakBefore w:val="0"/>
        <w:widowControl/>
        <w:kinsoku/>
        <w:wordWrap/>
        <w:overflowPunct/>
        <w:topLinePunct w:val="0"/>
        <w:autoSpaceDE/>
        <w:autoSpaceDN/>
        <w:bidi w:val="0"/>
        <w:adjustRightInd/>
        <w:snapToGrid/>
        <w:spacing w:line="579" w:lineRule="exact"/>
        <w:jc w:val="left"/>
        <w:rPr>
          <w:rFonts w:hint="eastAsia" w:ascii="方正细黑一_GBK" w:hAnsi="方正细黑一_GBK" w:eastAsia="方正细黑一_GBK" w:cs="方正细黑一_GBK"/>
          <w:color w:val="auto"/>
          <w:sz w:val="31"/>
          <w:szCs w:val="31"/>
          <w:shd w:val="clear" w:color="auto" w:fill="FFFFFF"/>
        </w:rPr>
      </w:pPr>
    </w:p>
    <w:p>
      <w:pPr>
        <w:keepNext w:val="0"/>
        <w:keepLines w:val="0"/>
        <w:pageBreakBefore w:val="0"/>
        <w:widowControl/>
        <w:kinsoku/>
        <w:wordWrap/>
        <w:overflowPunct/>
        <w:topLinePunct w:val="0"/>
        <w:autoSpaceDE/>
        <w:autoSpaceDN/>
        <w:bidi w:val="0"/>
        <w:adjustRightInd/>
        <w:snapToGrid/>
        <w:spacing w:line="579" w:lineRule="exact"/>
        <w:ind w:firstLine="4495" w:firstLineChars="1450"/>
        <w:jc w:val="left"/>
        <w:rPr>
          <w:rFonts w:hint="eastAsia" w:ascii="CESI仿宋-GB13000" w:hAnsi="CESI仿宋-GB13000" w:eastAsia="CESI仿宋-GB13000" w:cs="CESI仿宋-GB13000"/>
          <w:color w:val="auto"/>
          <w:sz w:val="31"/>
          <w:szCs w:val="31"/>
          <w:shd w:val="clear" w:color="auto" w:fill="FFFFFF"/>
        </w:rPr>
      </w:pPr>
      <w:r>
        <w:rPr>
          <w:rFonts w:hint="eastAsia" w:ascii="CESI仿宋-GB13000" w:hAnsi="CESI仿宋-GB13000" w:eastAsia="CESI仿宋-GB13000" w:cs="CESI仿宋-GB13000"/>
          <w:color w:val="auto"/>
          <w:sz w:val="31"/>
          <w:szCs w:val="31"/>
          <w:shd w:val="clear" w:color="auto" w:fill="FFFFFF"/>
        </w:rPr>
        <w:t>2023年8月15日</w:t>
      </w:r>
    </w:p>
    <w:p>
      <w:pPr>
        <w:keepNext w:val="0"/>
        <w:keepLines w:val="0"/>
        <w:pageBreakBefore w:val="0"/>
        <w:widowControl/>
        <w:kinsoku/>
        <w:wordWrap/>
        <w:overflowPunct/>
        <w:topLinePunct w:val="0"/>
        <w:autoSpaceDE/>
        <w:autoSpaceDN/>
        <w:bidi w:val="0"/>
        <w:adjustRightInd/>
        <w:snapToGrid/>
        <w:spacing w:line="579" w:lineRule="exact"/>
        <w:jc w:val="left"/>
        <w:rPr>
          <w:rFonts w:hint="eastAsia" w:ascii="方正细黑一_GBK" w:hAnsi="方正细黑一_GBK" w:eastAsia="方正细黑一_GBK" w:cs="方正细黑一_GBK"/>
          <w:color w:val="auto"/>
          <w:sz w:val="31"/>
          <w:szCs w:val="31"/>
          <w:shd w:val="clear" w:color="auto" w:fill="FFFFFF"/>
        </w:rPr>
      </w:pPr>
    </w:p>
    <w:p>
      <w:pPr>
        <w:keepNext w:val="0"/>
        <w:keepLines w:val="0"/>
        <w:pageBreakBefore w:val="0"/>
        <w:widowControl/>
        <w:kinsoku/>
        <w:wordWrap/>
        <w:overflowPunct/>
        <w:topLinePunct w:val="0"/>
        <w:autoSpaceDE/>
        <w:autoSpaceDN/>
        <w:bidi w:val="0"/>
        <w:adjustRightInd/>
        <w:snapToGrid/>
        <w:spacing w:line="579" w:lineRule="exact"/>
        <w:jc w:val="left"/>
        <w:rPr>
          <w:rFonts w:hint="eastAsia" w:ascii="方正细黑一_GBK" w:hAnsi="方正细黑一_GBK" w:eastAsia="方正细黑一_GBK" w:cs="方正细黑一_GBK"/>
          <w:color w:val="auto"/>
          <w:sz w:val="31"/>
          <w:szCs w:val="31"/>
          <w:shd w:val="clear" w:color="auto" w:fill="FFFFFF"/>
        </w:rPr>
      </w:pPr>
    </w:p>
    <w:p>
      <w:pPr>
        <w:keepNext w:val="0"/>
        <w:keepLines w:val="0"/>
        <w:pageBreakBefore w:val="0"/>
        <w:widowControl/>
        <w:kinsoku/>
        <w:wordWrap/>
        <w:overflowPunct/>
        <w:topLinePunct w:val="0"/>
        <w:autoSpaceDE/>
        <w:autoSpaceDN/>
        <w:bidi w:val="0"/>
        <w:adjustRightInd/>
        <w:snapToGrid/>
        <w:spacing w:line="579" w:lineRule="exact"/>
        <w:jc w:val="left"/>
        <w:rPr>
          <w:rFonts w:hint="eastAsia" w:ascii="方正细黑一_GBK" w:hAnsi="方正细黑一_GBK" w:eastAsia="方正细黑一_GBK" w:cs="方正细黑一_GBK"/>
          <w:color w:val="auto"/>
          <w:sz w:val="31"/>
          <w:szCs w:val="31"/>
          <w:shd w:val="clear" w:color="auto" w:fill="FFFFFF"/>
        </w:rPr>
      </w:pPr>
    </w:p>
    <w:p>
      <w:pPr>
        <w:keepNext w:val="0"/>
        <w:keepLines w:val="0"/>
        <w:pageBreakBefore w:val="0"/>
        <w:widowControl/>
        <w:kinsoku/>
        <w:wordWrap/>
        <w:overflowPunct/>
        <w:topLinePunct w:val="0"/>
        <w:autoSpaceDE/>
        <w:autoSpaceDN/>
        <w:bidi w:val="0"/>
        <w:adjustRightInd/>
        <w:snapToGrid/>
        <w:spacing w:line="579" w:lineRule="exact"/>
        <w:jc w:val="left"/>
        <w:rPr>
          <w:rFonts w:hint="eastAsia" w:ascii="方正细黑一_GBK" w:hAnsi="方正细黑一_GBK" w:eastAsia="方正细黑一_GBK" w:cs="方正细黑一_GBK"/>
          <w:color w:val="auto"/>
          <w:kern w:val="0"/>
          <w:sz w:val="31"/>
          <w:szCs w:val="31"/>
          <w:shd w:val="clear" w:color="auto" w:fill="FFFFFF"/>
        </w:rPr>
      </w:pPr>
    </w:p>
    <w:p>
      <w:pPr>
        <w:jc w:val="left"/>
        <w:rPr>
          <w:rFonts w:hint="eastAsia" w:ascii="CESI仿宋-GB13000" w:hAnsi="CESI仿宋-GB13000" w:eastAsia="CESI仿宋-GB13000" w:cs="CESI仿宋-GB13000"/>
          <w:color w:val="auto"/>
          <w:kern w:val="0"/>
          <w:sz w:val="31"/>
          <w:szCs w:val="31"/>
          <w:shd w:val="clear" w:color="auto" w:fill="FFFFFF"/>
        </w:rPr>
      </w:pPr>
    </w:p>
    <w:p>
      <w:pPr>
        <w:jc w:val="left"/>
        <w:rPr>
          <w:rFonts w:hint="eastAsia" w:ascii="CESI仿宋-GB13000" w:hAnsi="CESI仿宋-GB13000" w:eastAsia="CESI仿宋-GB13000" w:cs="CESI仿宋-GB13000"/>
          <w:color w:val="auto"/>
          <w:kern w:val="0"/>
          <w:sz w:val="31"/>
          <w:szCs w:val="31"/>
          <w:shd w:val="clear" w:color="auto" w:fill="FFFFFF"/>
        </w:rPr>
      </w:pPr>
    </w:p>
    <w:p>
      <w:pPr>
        <w:jc w:val="left"/>
        <w:rPr>
          <w:rFonts w:hint="eastAsia" w:ascii="CESI仿宋-GB13000" w:hAnsi="CESI仿宋-GB13000" w:eastAsia="CESI仿宋-GB13000" w:cs="CESI仿宋-GB13000"/>
          <w:color w:val="auto"/>
          <w:kern w:val="0"/>
          <w:sz w:val="31"/>
          <w:szCs w:val="31"/>
          <w:shd w:val="clear" w:color="auto" w:fill="FFFFFF"/>
        </w:rPr>
      </w:pPr>
    </w:p>
    <w:p>
      <w:pPr>
        <w:jc w:val="left"/>
        <w:rPr>
          <w:rFonts w:hint="eastAsia" w:ascii="CESI仿宋-GB13000" w:hAnsi="CESI仿宋-GB13000" w:eastAsia="CESI仿宋-GB13000" w:cs="CESI仿宋-GB13000"/>
          <w:color w:val="auto"/>
          <w:kern w:val="0"/>
          <w:sz w:val="31"/>
          <w:szCs w:val="31"/>
          <w:shd w:val="clear" w:color="auto" w:fill="FFFFFF"/>
        </w:rPr>
      </w:pPr>
    </w:p>
    <w:p>
      <w:pPr>
        <w:jc w:val="left"/>
        <w:rPr>
          <w:rFonts w:hint="eastAsia" w:ascii="CESI仿宋-GB13000" w:hAnsi="CESI仿宋-GB13000" w:eastAsia="CESI仿宋-GB13000" w:cs="CESI仿宋-GB13000"/>
          <w:color w:val="auto"/>
          <w:kern w:val="0"/>
          <w:sz w:val="31"/>
          <w:szCs w:val="31"/>
          <w:shd w:val="clear" w:color="auto" w:fill="FFFFFF"/>
        </w:rPr>
      </w:pPr>
    </w:p>
    <w:p>
      <w:pPr>
        <w:jc w:val="left"/>
        <w:rPr>
          <w:rFonts w:hint="eastAsia" w:ascii="CESI仿宋-GB13000" w:hAnsi="CESI仿宋-GB13000" w:eastAsia="CESI仿宋-GB13000" w:cs="CESI仿宋-GB13000"/>
          <w:color w:val="auto"/>
          <w:kern w:val="0"/>
          <w:sz w:val="31"/>
          <w:szCs w:val="31"/>
          <w:shd w:val="clear" w:color="auto" w:fill="FFFFFF"/>
        </w:rPr>
      </w:pPr>
    </w:p>
    <w:p>
      <w:pPr>
        <w:jc w:val="left"/>
        <w:rPr>
          <w:rFonts w:hint="eastAsia" w:ascii="CESI仿宋-GB13000" w:hAnsi="CESI仿宋-GB13000" w:eastAsia="CESI仿宋-GB13000" w:cs="CESI仿宋-GB13000"/>
          <w:color w:val="auto"/>
          <w:kern w:val="0"/>
          <w:sz w:val="31"/>
          <w:szCs w:val="31"/>
          <w:shd w:val="clear" w:color="auto" w:fill="FFFFFF"/>
        </w:rPr>
      </w:pPr>
    </w:p>
    <w:p>
      <w:pPr>
        <w:jc w:val="left"/>
        <w:rPr>
          <w:rFonts w:hint="eastAsia" w:ascii="CESI仿宋-GB13000" w:hAnsi="CESI仿宋-GB13000" w:eastAsia="CESI仿宋-GB13000" w:cs="CESI仿宋-GB13000"/>
          <w:color w:val="auto"/>
          <w:kern w:val="0"/>
          <w:sz w:val="31"/>
          <w:szCs w:val="31"/>
          <w:shd w:val="clear" w:color="auto" w:fill="FFFFFF"/>
        </w:rPr>
      </w:pPr>
    </w:p>
    <w:p>
      <w:pPr>
        <w:jc w:val="left"/>
        <w:rPr>
          <w:rFonts w:hint="eastAsia" w:ascii="CESI仿宋-GB13000" w:hAnsi="CESI仿宋-GB13000" w:eastAsia="CESI仿宋-GB13000" w:cs="CESI仿宋-GB13000"/>
          <w:color w:val="auto"/>
          <w:kern w:val="0"/>
          <w:sz w:val="31"/>
          <w:szCs w:val="31"/>
          <w:shd w:val="clear" w:color="auto" w:fill="FFFFFF"/>
        </w:rPr>
      </w:pPr>
    </w:p>
    <w:p>
      <w:pPr>
        <w:jc w:val="left"/>
        <w:rPr>
          <w:rFonts w:hint="eastAsia" w:ascii="CESI仿宋-GB13000" w:hAnsi="CESI仿宋-GB13000" w:eastAsia="CESI仿宋-GB13000" w:cs="CESI仿宋-GB13000"/>
          <w:color w:val="auto"/>
          <w:kern w:val="0"/>
          <w:sz w:val="31"/>
          <w:szCs w:val="31"/>
          <w:shd w:val="clear" w:color="auto" w:fill="FFFFFF"/>
        </w:rPr>
      </w:pPr>
    </w:p>
    <w:p>
      <w:pPr>
        <w:jc w:val="left"/>
        <w:rPr>
          <w:rFonts w:hint="eastAsia" w:ascii="CESI仿宋-GB13000" w:hAnsi="CESI仿宋-GB13000" w:eastAsia="CESI仿宋-GB13000" w:cs="CESI仿宋-GB13000"/>
          <w:color w:val="auto"/>
          <w:kern w:val="0"/>
          <w:sz w:val="31"/>
          <w:szCs w:val="31"/>
          <w:shd w:val="clear" w:color="auto" w:fill="FFFFFF"/>
        </w:rPr>
      </w:pPr>
    </w:p>
    <w:p>
      <w:pPr>
        <w:jc w:val="left"/>
        <w:rPr>
          <w:rFonts w:hint="eastAsia" w:ascii="CESI仿宋-GB13000" w:hAnsi="CESI仿宋-GB13000" w:eastAsia="CESI仿宋-GB13000" w:cs="CESI仿宋-GB13000"/>
          <w:color w:val="auto"/>
          <w:kern w:val="0"/>
          <w:sz w:val="31"/>
          <w:szCs w:val="31"/>
          <w:shd w:val="clear" w:color="auto" w:fill="FFFFFF"/>
        </w:rPr>
      </w:pPr>
      <w:r>
        <w:rPr>
          <w:rFonts w:hint="eastAsia" w:ascii="CESI仿宋-GB13000" w:hAnsi="CESI仿宋-GB13000" w:eastAsia="CESI仿宋-GB13000" w:cs="CESI仿宋-GB13000"/>
          <w:color w:val="auto"/>
          <w:kern w:val="0"/>
          <w:sz w:val="31"/>
          <w:szCs w:val="31"/>
          <w:shd w:val="clear" w:color="auto" w:fill="FFFFFF"/>
        </w:rPr>
        <w:t>附件</w:t>
      </w:r>
    </w:p>
    <w:p>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方正小标宋简体" w:hAnsi="方正小标宋简体" w:eastAsia="方正小标宋简体" w:cs="方正小标宋简体"/>
          <w:b/>
          <w:bCs/>
          <w:color w:val="auto"/>
          <w:sz w:val="44"/>
          <w:szCs w:val="44"/>
        </w:rPr>
      </w:pPr>
      <w:r>
        <w:rPr>
          <w:rFonts w:hint="eastAsia" w:ascii="方正小标宋简体" w:hAnsi="方正小标宋简体" w:eastAsia="方正小标宋简体" w:cs="方正小标宋简体"/>
          <w:color w:val="auto"/>
          <w:sz w:val="44"/>
          <w:szCs w:val="44"/>
        </w:rPr>
        <w:t>河南省机关事业单位工勤技能岗位等级考核成绩复查申请表</w:t>
      </w:r>
    </w:p>
    <w:tbl>
      <w:tblPr>
        <w:tblStyle w:val="6"/>
        <w:tblW w:w="9258" w:type="dxa"/>
        <w:tblInd w:w="-2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2921"/>
        <w:gridCol w:w="1570"/>
        <w:gridCol w:w="26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2109" w:type="dxa"/>
            <w:noWrap/>
            <w:vAlign w:val="center"/>
          </w:tcPr>
          <w:p>
            <w:pPr>
              <w:jc w:val="center"/>
              <w:rPr>
                <w:rFonts w:ascii="黑体" w:hAnsi="黑体" w:eastAsia="黑体" w:cs="黑体"/>
                <w:color w:val="auto"/>
                <w:sz w:val="28"/>
              </w:rPr>
            </w:pPr>
            <w:r>
              <w:rPr>
                <w:rFonts w:hint="eastAsia" w:ascii="黑体" w:hAnsi="黑体" w:eastAsia="黑体" w:cs="黑体"/>
                <w:color w:val="auto"/>
                <w:sz w:val="28"/>
              </w:rPr>
              <w:t>姓   名</w:t>
            </w:r>
          </w:p>
        </w:tc>
        <w:tc>
          <w:tcPr>
            <w:tcW w:w="2921" w:type="dxa"/>
            <w:noWrap/>
          </w:tcPr>
          <w:p>
            <w:pPr>
              <w:jc w:val="left"/>
              <w:rPr>
                <w:rFonts w:ascii="黑体" w:hAnsi="黑体" w:eastAsia="黑体" w:cs="黑体"/>
                <w:color w:val="auto"/>
                <w:sz w:val="28"/>
              </w:rPr>
            </w:pPr>
          </w:p>
        </w:tc>
        <w:tc>
          <w:tcPr>
            <w:tcW w:w="1570" w:type="dxa"/>
            <w:noWrap/>
            <w:vAlign w:val="center"/>
          </w:tcPr>
          <w:p>
            <w:pPr>
              <w:jc w:val="center"/>
              <w:rPr>
                <w:rFonts w:ascii="黑体" w:hAnsi="黑体" w:eastAsia="黑体" w:cs="黑体"/>
                <w:color w:val="auto"/>
                <w:sz w:val="28"/>
              </w:rPr>
            </w:pPr>
            <w:r>
              <w:rPr>
                <w:rFonts w:hint="eastAsia" w:ascii="黑体" w:hAnsi="黑体" w:eastAsia="黑体" w:cs="黑体"/>
                <w:color w:val="auto"/>
                <w:sz w:val="28"/>
              </w:rPr>
              <w:t>工作单位</w:t>
            </w:r>
          </w:p>
        </w:tc>
        <w:tc>
          <w:tcPr>
            <w:tcW w:w="2658" w:type="dxa"/>
            <w:noWrap/>
          </w:tcPr>
          <w:p>
            <w:pPr>
              <w:jc w:val="left"/>
              <w:rPr>
                <w:rFonts w:ascii="黑体" w:hAnsi="黑体" w:eastAsia="黑体" w:cs="黑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109" w:type="dxa"/>
            <w:noWrap/>
            <w:vAlign w:val="center"/>
          </w:tcPr>
          <w:p>
            <w:pPr>
              <w:jc w:val="center"/>
              <w:rPr>
                <w:rFonts w:ascii="黑体" w:hAnsi="黑体" w:eastAsia="黑体" w:cs="黑体"/>
                <w:color w:val="auto"/>
                <w:sz w:val="28"/>
              </w:rPr>
            </w:pPr>
            <w:r>
              <w:rPr>
                <w:rFonts w:hint="eastAsia" w:ascii="黑体" w:hAnsi="黑体" w:eastAsia="黑体" w:cs="黑体"/>
                <w:color w:val="auto"/>
                <w:sz w:val="28"/>
              </w:rPr>
              <w:t>身份证号</w:t>
            </w:r>
          </w:p>
        </w:tc>
        <w:tc>
          <w:tcPr>
            <w:tcW w:w="2921" w:type="dxa"/>
            <w:noWrap/>
          </w:tcPr>
          <w:p>
            <w:pPr>
              <w:jc w:val="left"/>
              <w:rPr>
                <w:rFonts w:ascii="黑体" w:hAnsi="黑体" w:eastAsia="黑体" w:cs="黑体"/>
                <w:color w:val="auto"/>
                <w:sz w:val="28"/>
              </w:rPr>
            </w:pPr>
          </w:p>
        </w:tc>
        <w:tc>
          <w:tcPr>
            <w:tcW w:w="1570" w:type="dxa"/>
            <w:noWrap/>
            <w:vAlign w:val="center"/>
          </w:tcPr>
          <w:p>
            <w:pPr>
              <w:jc w:val="center"/>
              <w:rPr>
                <w:rFonts w:ascii="黑体" w:hAnsi="黑体" w:eastAsia="黑体" w:cs="黑体"/>
                <w:color w:val="auto"/>
                <w:sz w:val="28"/>
              </w:rPr>
            </w:pPr>
            <w:r>
              <w:rPr>
                <w:rFonts w:hint="eastAsia" w:ascii="黑体" w:hAnsi="黑体" w:eastAsia="黑体" w:cs="黑体"/>
                <w:color w:val="auto"/>
                <w:sz w:val="28"/>
              </w:rPr>
              <w:t>准考证号</w:t>
            </w:r>
          </w:p>
        </w:tc>
        <w:tc>
          <w:tcPr>
            <w:tcW w:w="2658" w:type="dxa"/>
            <w:noWrap/>
          </w:tcPr>
          <w:p>
            <w:pPr>
              <w:jc w:val="left"/>
              <w:rPr>
                <w:rFonts w:ascii="黑体" w:hAnsi="黑体" w:eastAsia="黑体" w:cs="黑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2109" w:type="dxa"/>
            <w:noWrap/>
            <w:vAlign w:val="center"/>
          </w:tcPr>
          <w:p>
            <w:pPr>
              <w:jc w:val="center"/>
              <w:rPr>
                <w:rFonts w:ascii="黑体" w:hAnsi="黑体" w:eastAsia="黑体" w:cs="黑体"/>
                <w:color w:val="auto"/>
                <w:sz w:val="28"/>
              </w:rPr>
            </w:pPr>
            <w:r>
              <w:rPr>
                <w:rFonts w:hint="eastAsia" w:ascii="黑体" w:hAnsi="黑体" w:eastAsia="黑体" w:cs="黑体"/>
                <w:color w:val="auto"/>
                <w:sz w:val="28"/>
              </w:rPr>
              <w:t>申请复查科目</w:t>
            </w:r>
          </w:p>
        </w:tc>
        <w:tc>
          <w:tcPr>
            <w:tcW w:w="2921" w:type="dxa"/>
            <w:noWrap/>
          </w:tcPr>
          <w:p>
            <w:pPr>
              <w:jc w:val="left"/>
              <w:rPr>
                <w:rFonts w:ascii="黑体" w:hAnsi="黑体" w:eastAsia="黑体" w:cs="黑体"/>
                <w:color w:val="auto"/>
                <w:sz w:val="28"/>
              </w:rPr>
            </w:pPr>
          </w:p>
        </w:tc>
        <w:tc>
          <w:tcPr>
            <w:tcW w:w="1570" w:type="dxa"/>
            <w:noWrap/>
            <w:vAlign w:val="center"/>
          </w:tcPr>
          <w:p>
            <w:pPr>
              <w:jc w:val="center"/>
              <w:rPr>
                <w:rFonts w:ascii="黑体" w:hAnsi="黑体" w:eastAsia="黑体" w:cs="黑体"/>
                <w:color w:val="auto"/>
                <w:sz w:val="28"/>
              </w:rPr>
            </w:pPr>
            <w:r>
              <w:rPr>
                <w:rFonts w:hint="eastAsia" w:ascii="黑体" w:hAnsi="黑体" w:eastAsia="黑体" w:cs="黑体"/>
                <w:color w:val="auto"/>
                <w:sz w:val="28"/>
              </w:rPr>
              <w:t>联系电话</w:t>
            </w:r>
          </w:p>
        </w:tc>
        <w:tc>
          <w:tcPr>
            <w:tcW w:w="2658" w:type="dxa"/>
            <w:noWrap/>
          </w:tcPr>
          <w:p>
            <w:pPr>
              <w:jc w:val="left"/>
              <w:rPr>
                <w:rFonts w:ascii="黑体" w:hAnsi="黑体" w:eastAsia="黑体" w:cs="黑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2109" w:type="dxa"/>
            <w:noWrap/>
            <w:vAlign w:val="center"/>
          </w:tcPr>
          <w:p>
            <w:pPr>
              <w:jc w:val="center"/>
              <w:rPr>
                <w:rFonts w:ascii="黑体" w:hAnsi="黑体" w:eastAsia="黑体" w:cs="黑体"/>
                <w:color w:val="auto"/>
                <w:sz w:val="28"/>
              </w:rPr>
            </w:pPr>
            <w:r>
              <w:rPr>
                <w:rFonts w:hint="eastAsia" w:ascii="黑体" w:hAnsi="黑体" w:eastAsia="黑体" w:cs="黑体"/>
                <w:color w:val="auto"/>
                <w:sz w:val="28"/>
              </w:rPr>
              <w:t>申请复查理由</w:t>
            </w:r>
          </w:p>
        </w:tc>
        <w:tc>
          <w:tcPr>
            <w:tcW w:w="7149" w:type="dxa"/>
            <w:gridSpan w:val="3"/>
            <w:noWrap/>
          </w:tcPr>
          <w:p>
            <w:pPr>
              <w:jc w:val="left"/>
              <w:rPr>
                <w:rFonts w:ascii="黑体" w:hAnsi="黑体" w:eastAsia="黑体" w:cs="黑体"/>
                <w:color w:val="auto"/>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3" w:hRule="atLeast"/>
        </w:trPr>
        <w:tc>
          <w:tcPr>
            <w:tcW w:w="2109" w:type="dxa"/>
            <w:noWrap/>
            <w:vAlign w:val="center"/>
          </w:tcPr>
          <w:p>
            <w:pPr>
              <w:jc w:val="center"/>
              <w:rPr>
                <w:rFonts w:ascii="黑体" w:hAnsi="黑体" w:eastAsia="黑体" w:cs="黑体"/>
                <w:color w:val="auto"/>
                <w:sz w:val="28"/>
              </w:rPr>
            </w:pPr>
            <w:r>
              <w:rPr>
                <w:rFonts w:hint="eastAsia" w:ascii="黑体" w:hAnsi="黑体" w:eastAsia="黑体" w:cs="黑体"/>
                <w:color w:val="auto"/>
                <w:sz w:val="28"/>
              </w:rPr>
              <w:t>单位意见</w:t>
            </w:r>
          </w:p>
          <w:p>
            <w:pPr>
              <w:jc w:val="center"/>
              <w:rPr>
                <w:rFonts w:ascii="黑体" w:hAnsi="黑体" w:eastAsia="黑体" w:cs="黑体"/>
                <w:color w:val="auto"/>
                <w:sz w:val="28"/>
              </w:rPr>
            </w:pPr>
            <w:r>
              <w:rPr>
                <w:rFonts w:hint="eastAsia" w:ascii="黑体" w:hAnsi="黑体" w:eastAsia="黑体" w:cs="黑体"/>
                <w:color w:val="auto"/>
                <w:sz w:val="28"/>
              </w:rPr>
              <w:t>（公章）</w:t>
            </w:r>
          </w:p>
        </w:tc>
        <w:tc>
          <w:tcPr>
            <w:tcW w:w="7149" w:type="dxa"/>
            <w:gridSpan w:val="3"/>
            <w:noWrap/>
          </w:tcPr>
          <w:p>
            <w:pPr>
              <w:spacing w:line="320" w:lineRule="exact"/>
              <w:jc w:val="left"/>
              <w:rPr>
                <w:rFonts w:hint="eastAsia" w:ascii="黑体" w:hAnsi="黑体" w:eastAsia="黑体" w:cs="黑体"/>
                <w:color w:val="auto"/>
                <w:sz w:val="28"/>
              </w:rPr>
            </w:pPr>
          </w:p>
          <w:p>
            <w:pPr>
              <w:spacing w:line="320" w:lineRule="exact"/>
              <w:jc w:val="left"/>
              <w:rPr>
                <w:rFonts w:ascii="黑体" w:hAnsi="黑体" w:eastAsia="黑体" w:cs="黑体"/>
                <w:color w:val="auto"/>
                <w:sz w:val="28"/>
              </w:rPr>
            </w:pPr>
          </w:p>
          <w:p>
            <w:pPr>
              <w:ind w:right="420"/>
              <w:jc w:val="right"/>
              <w:rPr>
                <w:rFonts w:ascii="黑体" w:hAnsi="黑体" w:eastAsia="黑体" w:cs="黑体"/>
                <w:color w:val="auto"/>
                <w:sz w:val="28"/>
              </w:rPr>
            </w:pPr>
            <w:r>
              <w:rPr>
                <w:rFonts w:hint="eastAsia" w:ascii="黑体" w:hAnsi="黑体" w:eastAsia="黑体" w:cs="黑体"/>
                <w:color w:val="auto"/>
                <w:sz w:val="28"/>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0" w:hRule="atLeast"/>
        </w:trPr>
        <w:tc>
          <w:tcPr>
            <w:tcW w:w="2109" w:type="dxa"/>
            <w:noWrap/>
            <w:vAlign w:val="center"/>
          </w:tcPr>
          <w:p>
            <w:pPr>
              <w:jc w:val="center"/>
              <w:rPr>
                <w:rFonts w:ascii="黑体" w:hAnsi="黑体" w:eastAsia="黑体" w:cs="黑体"/>
                <w:color w:val="auto"/>
                <w:sz w:val="28"/>
              </w:rPr>
            </w:pPr>
            <w:r>
              <w:rPr>
                <w:rFonts w:hint="eastAsia" w:ascii="黑体" w:hAnsi="黑体" w:eastAsia="黑体" w:cs="黑体"/>
                <w:color w:val="auto"/>
                <w:sz w:val="28"/>
              </w:rPr>
              <w:t>注意事项</w:t>
            </w:r>
          </w:p>
        </w:tc>
        <w:tc>
          <w:tcPr>
            <w:tcW w:w="7149" w:type="dxa"/>
            <w:gridSpan w:val="3"/>
            <w:noWrap/>
          </w:tcPr>
          <w:p>
            <w:pPr>
              <w:spacing w:line="380" w:lineRule="exact"/>
              <w:rPr>
                <w:rFonts w:ascii="仿宋" w:hAnsi="仿宋" w:eastAsia="仿宋" w:cs="仿宋"/>
                <w:color w:val="auto"/>
                <w:sz w:val="24"/>
              </w:rPr>
            </w:pPr>
            <w:r>
              <w:rPr>
                <w:rFonts w:ascii="仿宋" w:hAnsi="仿宋" w:eastAsia="仿宋" w:cs="仿宋"/>
                <w:color w:val="auto"/>
                <w:sz w:val="24"/>
              </w:rPr>
              <w:t>1、</w:t>
            </w:r>
            <w:r>
              <w:rPr>
                <w:rFonts w:hint="eastAsia" w:ascii="仿宋" w:hAnsi="仿宋" w:eastAsia="仿宋" w:cs="仿宋"/>
                <w:color w:val="auto"/>
                <w:sz w:val="24"/>
              </w:rPr>
              <w:t>所有项目必须填写完整，若因考生误填所造成的一切后果由考生自己负责。</w:t>
            </w:r>
          </w:p>
          <w:p>
            <w:pPr>
              <w:spacing w:line="380" w:lineRule="exact"/>
              <w:rPr>
                <w:rFonts w:ascii="仿宋" w:hAnsi="仿宋" w:eastAsia="仿宋" w:cs="仿宋"/>
                <w:color w:val="auto"/>
                <w:sz w:val="24"/>
              </w:rPr>
            </w:pPr>
            <w:r>
              <w:rPr>
                <w:rFonts w:ascii="仿宋" w:hAnsi="仿宋" w:eastAsia="仿宋" w:cs="仿宋"/>
                <w:color w:val="auto"/>
                <w:sz w:val="24"/>
              </w:rPr>
              <w:t>2、</w:t>
            </w:r>
            <w:r>
              <w:rPr>
                <w:rFonts w:hint="eastAsia" w:ascii="仿宋" w:hAnsi="仿宋" w:eastAsia="仿宋" w:cs="仿宋"/>
                <w:color w:val="auto"/>
                <w:sz w:val="24"/>
              </w:rPr>
              <w:t>考生须在认真阅读“复查须知”后手工填写，确认以上所填的信息真实、准确、符合复查规定的要求后，否则申请无效。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trPr>
        <w:tc>
          <w:tcPr>
            <w:tcW w:w="2109" w:type="dxa"/>
            <w:noWrap/>
            <w:vAlign w:val="center"/>
          </w:tcPr>
          <w:p>
            <w:pPr>
              <w:jc w:val="center"/>
              <w:rPr>
                <w:rFonts w:ascii="黑体" w:hAnsi="黑体" w:eastAsia="黑体" w:cs="黑体"/>
                <w:color w:val="auto"/>
                <w:sz w:val="28"/>
              </w:rPr>
            </w:pPr>
            <w:r>
              <w:rPr>
                <w:rFonts w:ascii="黑体" w:hAnsi="黑体" w:eastAsia="黑体" w:cs="黑体"/>
                <w:color w:val="auto"/>
                <w:sz w:val="28"/>
              </w:rPr>
              <w:t>备注</w:t>
            </w:r>
          </w:p>
        </w:tc>
        <w:tc>
          <w:tcPr>
            <w:tcW w:w="7149" w:type="dxa"/>
            <w:gridSpan w:val="3"/>
            <w:noWrap/>
          </w:tcPr>
          <w:p>
            <w:pPr>
              <w:spacing w:line="380" w:lineRule="exact"/>
              <w:rPr>
                <w:rFonts w:ascii="仿宋" w:hAnsi="仿宋" w:eastAsia="仿宋" w:cs="仿宋"/>
                <w:color w:val="auto"/>
                <w:sz w:val="24"/>
              </w:rPr>
            </w:pPr>
          </w:p>
        </w:tc>
      </w:tr>
    </w:tbl>
    <w:p>
      <w:pPr>
        <w:spacing w:line="380" w:lineRule="exact"/>
        <w:jc w:val="center"/>
        <w:rPr>
          <w:rFonts w:ascii="黑体" w:hAnsi="黑体" w:eastAsia="黑体" w:cs="黑体"/>
          <w:color w:val="auto"/>
          <w:sz w:val="32"/>
          <w:szCs w:val="32"/>
        </w:rPr>
      </w:pPr>
      <w:r>
        <w:rPr>
          <w:rFonts w:hint="eastAsia" w:ascii="黑体" w:hAnsi="黑体" w:eastAsia="黑体" w:cs="黑体"/>
          <w:color w:val="auto"/>
          <w:sz w:val="32"/>
          <w:szCs w:val="32"/>
        </w:rPr>
        <w:t>复查须知</w:t>
      </w:r>
    </w:p>
    <w:p>
      <w:pPr>
        <w:spacing w:line="380" w:lineRule="exact"/>
        <w:ind w:left="-718" w:firstLine="420" w:firstLineChars="200"/>
        <w:rPr>
          <w:rFonts w:ascii="仿宋" w:hAnsi="仿宋" w:eastAsia="仿宋" w:cs="仿宋"/>
          <w:color w:val="auto"/>
          <w:szCs w:val="21"/>
        </w:rPr>
      </w:pPr>
      <w:r>
        <w:rPr>
          <w:rFonts w:hint="eastAsia" w:ascii="仿宋" w:hAnsi="仿宋" w:eastAsia="仿宋" w:cs="仿宋"/>
          <w:color w:val="auto"/>
          <w:szCs w:val="21"/>
        </w:rPr>
        <w:t>1、考生对考试成绩如有异议，可以凭成绩复查申请表、准考证、身份证向所在考区工考管理机构申请复查成绩（申报高级技师考评的考生</w:t>
      </w:r>
      <w:r>
        <w:rPr>
          <w:rFonts w:ascii="仿宋" w:hAnsi="仿宋" w:eastAsia="仿宋" w:cs="仿宋"/>
          <w:color w:val="auto"/>
          <w:szCs w:val="21"/>
        </w:rPr>
        <w:t>可</w:t>
      </w:r>
      <w:r>
        <w:rPr>
          <w:rFonts w:hint="eastAsia" w:ascii="仿宋" w:hAnsi="仿宋" w:eastAsia="仿宋" w:cs="仿宋"/>
          <w:color w:val="auto"/>
          <w:szCs w:val="21"/>
        </w:rPr>
        <w:t>直接向河南省评价指导中心提出申请</w:t>
      </w:r>
      <w:r>
        <w:rPr>
          <w:rFonts w:ascii="仿宋" w:hAnsi="仿宋" w:eastAsia="仿宋" w:cs="仿宋"/>
          <w:color w:val="auto"/>
          <w:szCs w:val="21"/>
        </w:rPr>
        <w:t>，联系电话：0371-61612579</w:t>
      </w:r>
      <w:r>
        <w:rPr>
          <w:rFonts w:hint="eastAsia" w:ascii="仿宋" w:hAnsi="仿宋" w:eastAsia="仿宋" w:cs="仿宋"/>
          <w:color w:val="auto"/>
          <w:szCs w:val="21"/>
        </w:rPr>
        <w:t>）。成绩复查时将会对考生的报考信息、考试资格进行复审，故不接受他人代办。</w:t>
      </w:r>
    </w:p>
    <w:p>
      <w:pPr>
        <w:spacing w:line="380" w:lineRule="exact"/>
        <w:ind w:left="-718" w:firstLine="420" w:firstLineChars="200"/>
        <w:rPr>
          <w:rFonts w:ascii="仿宋" w:hAnsi="仿宋" w:eastAsia="仿宋" w:cs="仿宋"/>
          <w:color w:val="auto"/>
          <w:szCs w:val="21"/>
        </w:rPr>
      </w:pPr>
      <w:r>
        <w:rPr>
          <w:rFonts w:hint="eastAsia" w:ascii="仿宋" w:hAnsi="仿宋" w:eastAsia="仿宋" w:cs="仿宋"/>
          <w:color w:val="auto"/>
          <w:szCs w:val="21"/>
        </w:rPr>
        <w:t>2、复查成绩的范围：工勤技能岗位等级主观试题考试和岗位技能实操考核；对人机对话考试</w:t>
      </w:r>
      <w:r>
        <w:rPr>
          <w:rFonts w:ascii="仿宋" w:hAnsi="仿宋" w:eastAsia="仿宋" w:cs="仿宋"/>
          <w:color w:val="auto"/>
          <w:szCs w:val="21"/>
        </w:rPr>
        <w:t>成绩</w:t>
      </w:r>
      <w:r>
        <w:rPr>
          <w:rFonts w:hint="eastAsia" w:ascii="仿宋" w:hAnsi="仿宋" w:eastAsia="仿宋" w:cs="仿宋"/>
          <w:color w:val="auto"/>
          <w:szCs w:val="21"/>
        </w:rPr>
        <w:t>不接受复查申请。考生对零分、缺考和违纪的处</w:t>
      </w:r>
      <w:bookmarkStart w:id="0" w:name="_GoBack"/>
      <w:bookmarkEnd w:id="0"/>
      <w:r>
        <w:rPr>
          <w:rFonts w:hint="eastAsia" w:ascii="仿宋" w:hAnsi="仿宋" w:eastAsia="仿宋" w:cs="仿宋"/>
          <w:color w:val="auto"/>
          <w:szCs w:val="21"/>
        </w:rPr>
        <w:t>理有异议的，可申请复查。</w:t>
      </w:r>
    </w:p>
    <w:p>
      <w:pPr>
        <w:spacing w:line="380" w:lineRule="exact"/>
        <w:ind w:left="-718" w:firstLine="420" w:firstLineChars="200"/>
        <w:rPr>
          <w:rFonts w:ascii="仿宋" w:hAnsi="仿宋" w:eastAsia="仿宋" w:cs="仿宋"/>
          <w:bCs/>
          <w:color w:val="auto"/>
          <w:szCs w:val="21"/>
        </w:rPr>
      </w:pPr>
      <w:r>
        <w:rPr>
          <w:rFonts w:hint="eastAsia" w:ascii="仿宋" w:hAnsi="仿宋" w:eastAsia="仿宋" w:cs="仿宋"/>
          <w:color w:val="auto"/>
          <w:szCs w:val="21"/>
        </w:rPr>
        <w:t>3、复查成绩的内容包括：</w:t>
      </w:r>
      <w:r>
        <w:rPr>
          <w:rFonts w:hint="eastAsia" w:ascii="仿宋" w:hAnsi="仿宋" w:eastAsia="仿宋" w:cs="仿宋"/>
          <w:bCs/>
          <w:color w:val="auto"/>
          <w:szCs w:val="21"/>
        </w:rPr>
        <w:t>考生相关信息是否准确；登分、核分是否正确；有无漏改、错改；是否有违纪记录或者其它异常情况等。对主观试题评卷、</w:t>
      </w:r>
      <w:r>
        <w:rPr>
          <w:rFonts w:hint="eastAsia" w:ascii="仿宋" w:hAnsi="仿宋" w:eastAsia="仿宋" w:cs="仿宋"/>
          <w:color w:val="auto"/>
          <w:szCs w:val="21"/>
        </w:rPr>
        <w:t>岗位技能实操考核评分</w:t>
      </w:r>
      <w:r>
        <w:rPr>
          <w:rFonts w:hint="eastAsia" w:ascii="仿宋" w:hAnsi="仿宋" w:eastAsia="仿宋" w:cs="仿宋"/>
          <w:bCs/>
          <w:color w:val="auto"/>
          <w:szCs w:val="21"/>
        </w:rPr>
        <w:t>的宽严幅度不在复查范围之内，不作为变更成绩的依据。</w:t>
      </w:r>
    </w:p>
    <w:p>
      <w:pPr>
        <w:spacing w:line="380" w:lineRule="exact"/>
        <w:ind w:left="-718" w:firstLine="420" w:firstLineChars="200"/>
        <w:rPr>
          <w:rFonts w:ascii="仿宋" w:hAnsi="仿宋" w:eastAsia="仿宋" w:cs="仿宋"/>
          <w:color w:val="auto"/>
          <w:szCs w:val="21"/>
        </w:rPr>
      </w:pPr>
      <w:r>
        <w:rPr>
          <w:rFonts w:hint="eastAsia" w:ascii="仿宋" w:hAnsi="仿宋" w:eastAsia="仿宋" w:cs="仿宋"/>
          <w:color w:val="auto"/>
          <w:szCs w:val="21"/>
        </w:rPr>
        <w:t>4、复查时间：考生对考试成绩有异议，</w:t>
      </w:r>
      <w:r>
        <w:rPr>
          <w:rFonts w:ascii="仿宋" w:hAnsi="仿宋" w:eastAsia="仿宋" w:cs="仿宋"/>
          <w:color w:val="auto"/>
          <w:szCs w:val="21"/>
        </w:rPr>
        <w:t>应</w:t>
      </w:r>
      <w:r>
        <w:rPr>
          <w:rFonts w:hint="eastAsia" w:ascii="仿宋" w:hAnsi="仿宋" w:eastAsia="仿宋" w:cs="仿宋"/>
          <w:color w:val="auto"/>
          <w:szCs w:val="21"/>
        </w:rPr>
        <w:t>在成绩公布(公示)后5个工作日内申请复查成绩。</w:t>
      </w:r>
    </w:p>
    <w:p>
      <w:pPr>
        <w:spacing w:line="380" w:lineRule="exact"/>
        <w:ind w:left="-718" w:firstLine="420" w:firstLineChars="200"/>
        <w:rPr>
          <w:rFonts w:ascii="仿宋" w:hAnsi="仿宋" w:eastAsia="仿宋" w:cs="仿宋"/>
          <w:color w:val="auto"/>
          <w:szCs w:val="21"/>
        </w:rPr>
      </w:pPr>
      <w:r>
        <w:rPr>
          <w:rFonts w:hint="eastAsia" w:ascii="仿宋" w:hAnsi="仿宋" w:eastAsia="仿宋" w:cs="仿宋"/>
          <w:color w:val="auto"/>
          <w:szCs w:val="21"/>
        </w:rPr>
        <w:t>5、对同一考试科目的成绩复查，其复查工作原则上只受理一次。</w:t>
      </w:r>
    </w:p>
    <w:p>
      <w:pPr>
        <w:spacing w:line="380" w:lineRule="exact"/>
        <w:ind w:left="-718" w:firstLine="420" w:firstLineChars="200"/>
        <w:rPr>
          <w:rFonts w:ascii="仿宋" w:hAnsi="仿宋" w:eastAsia="仿宋" w:cs="仿宋"/>
          <w:color w:val="auto"/>
          <w:szCs w:val="21"/>
        </w:rPr>
      </w:pPr>
      <w:r>
        <w:rPr>
          <w:rFonts w:hint="eastAsia" w:ascii="仿宋" w:hAnsi="仿宋" w:eastAsia="仿宋" w:cs="仿宋"/>
          <w:color w:val="auto"/>
          <w:szCs w:val="21"/>
        </w:rPr>
        <w:t>6、河南省评价指导中心将严格按有关规定进行复查，如实准确记录复查成绩的情况，并及时将复查结果反馈给考生本人或考生所在考区工考管理机构。</w:t>
      </w:r>
    </w:p>
    <w:p>
      <w:pPr>
        <w:spacing w:line="380" w:lineRule="exact"/>
        <w:rPr>
          <w:rFonts w:ascii="仿宋" w:hAnsi="仿宋" w:eastAsia="仿宋" w:cs="仿宋"/>
          <w:color w:val="auto"/>
          <w:sz w:val="24"/>
        </w:rPr>
      </w:pPr>
    </w:p>
    <w:p>
      <w:pPr>
        <w:spacing w:line="380" w:lineRule="exact"/>
        <w:ind w:firstLine="120" w:firstLineChars="50"/>
        <w:rPr>
          <w:rFonts w:ascii="仿宋" w:hAnsi="仿宋" w:eastAsia="仿宋" w:cs="仿宋"/>
          <w:color w:val="auto"/>
          <w:sz w:val="24"/>
        </w:rPr>
      </w:pPr>
      <w:r>
        <w:rPr>
          <w:rFonts w:hint="eastAsia" w:ascii="仿宋" w:hAnsi="仿宋" w:eastAsia="仿宋" w:cs="仿宋"/>
          <w:color w:val="auto"/>
          <w:sz w:val="24"/>
        </w:rPr>
        <w:t>考生签字：                             受理人签字：</w:t>
      </w:r>
    </w:p>
    <w:p>
      <w:pPr>
        <w:spacing w:line="380" w:lineRule="exact"/>
        <w:ind w:firstLine="720" w:firstLineChars="300"/>
        <w:rPr>
          <w:color w:val="auto"/>
        </w:rPr>
      </w:pPr>
      <w:r>
        <w:rPr>
          <w:rFonts w:hint="eastAsia" w:ascii="仿宋" w:hAnsi="仿宋" w:eastAsia="仿宋" w:cs="仿宋"/>
          <w:color w:val="auto"/>
          <w:sz w:val="24"/>
        </w:rPr>
        <w:t>年   月  日                                年   月   日</w:t>
      </w:r>
    </w:p>
    <w:sectPr>
      <w:pgSz w:w="11906" w:h="16838"/>
      <w:pgMar w:top="1134" w:right="1474" w:bottom="113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Liberation Sans"/>
    <w:panose1 w:val="020B0604020202020204"/>
    <w:charset w:val="00"/>
    <w:family w:val="swiss"/>
    <w:pitch w:val="default"/>
    <w:sig w:usb0="00000000" w:usb1="00000000" w:usb2="00000000" w:usb3="00000000" w:csb0="00000001" w:csb1="00000000"/>
  </w:font>
  <w:font w:name="CESI仿宋-GB13000">
    <w:altName w:val="仿宋"/>
    <w:panose1 w:val="00000000000000000000"/>
    <w:charset w:val="00"/>
    <w:family w:val="auto"/>
    <w:pitch w:val="default"/>
    <w:sig w:usb0="00000000" w:usb1="00000000" w:usb2="00000000" w:usb3="00000000" w:csb0="00000000" w:csb1="00000000"/>
  </w:font>
  <w:font w:name="方正细黑一_GBK">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MwOGJiMmFhOGIxOGNiZTYwMDk2MTNjYmFjOGUyM2QifQ=="/>
  </w:docVars>
  <w:rsids>
    <w:rsidRoot w:val="00836672"/>
    <w:rsid w:val="003D01DF"/>
    <w:rsid w:val="00420FB8"/>
    <w:rsid w:val="005A37BC"/>
    <w:rsid w:val="006643EE"/>
    <w:rsid w:val="007D2E6E"/>
    <w:rsid w:val="00836672"/>
    <w:rsid w:val="00B41B6E"/>
    <w:rsid w:val="2DFF169E"/>
    <w:rsid w:val="49CB2D56"/>
    <w:rsid w:val="BDFA47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qFormat/>
    <w:uiPriority w:val="0"/>
    <w:rPr>
      <w:color w:val="0000FF"/>
      <w:u w:val="single"/>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206</Words>
  <Characters>1177</Characters>
  <Lines>9</Lines>
  <Paragraphs>2</Paragraphs>
  <TotalTime>32</TotalTime>
  <ScaleCrop>false</ScaleCrop>
  <LinksUpToDate>false</LinksUpToDate>
  <CharactersWithSpaces>1381</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2014-10-30T04:08:00Z</dcterms:created>
  <dc:creator>Administrator</dc:creator>
  <cp:lastModifiedBy>inspur</cp:lastModifiedBy>
  <cp:lastPrinted>2023-08-15T00:17:00Z</cp:lastPrinted>
  <dcterms:modified xsi:type="dcterms:W3CDTF">2023-08-15T09:45:25Z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D09EAE16BB0C428CA06783EBD433CED4_12</vt:lpwstr>
  </property>
</Properties>
</file>